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2B8" w:rsidRDefault="009D02B8" w:rsidP="009D02B8">
      <w:pPr>
        <w:rPr>
          <w:rFonts w:ascii="Arial" w:hAnsi="Arial" w:cs="Arial"/>
          <w:b/>
          <w:sz w:val="48"/>
          <w:szCs w:val="48"/>
        </w:rPr>
      </w:pPr>
      <w:r>
        <w:rPr>
          <w:rFonts w:ascii="Arial" w:hAnsi="Arial" w:cs="Arial"/>
          <w:b/>
          <w:noProof/>
          <w:sz w:val="48"/>
          <w:szCs w:val="48"/>
          <w:lang w:eastAsia="de-DE"/>
        </w:rPr>
        <w:drawing>
          <wp:inline distT="0" distB="0" distL="0" distR="0" wp14:anchorId="0F28DA8C" wp14:editId="2D54D4CC">
            <wp:extent cx="755906" cy="960122"/>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TMANN_Logo1_PNG.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5906" cy="960122"/>
                    </a:xfrm>
                    <a:prstGeom prst="rect">
                      <a:avLst/>
                    </a:prstGeom>
                  </pic:spPr>
                </pic:pic>
              </a:graphicData>
            </a:graphic>
          </wp:inline>
        </w:drawing>
      </w:r>
    </w:p>
    <w:p w:rsidR="009D02B8" w:rsidRDefault="009D02B8" w:rsidP="009D02B8">
      <w:pPr>
        <w:rPr>
          <w:rFonts w:ascii="Arial" w:hAnsi="Arial" w:cs="Arial"/>
          <w:b/>
          <w:sz w:val="48"/>
          <w:szCs w:val="48"/>
        </w:rPr>
      </w:pPr>
    </w:p>
    <w:p w:rsidR="009D02B8" w:rsidRPr="001957C4" w:rsidRDefault="009D02B8" w:rsidP="009D02B8">
      <w:pPr>
        <w:jc w:val="right"/>
        <w:rPr>
          <w:rFonts w:ascii="Arial" w:hAnsi="Arial" w:cs="Arial"/>
          <w:b/>
          <w:sz w:val="20"/>
          <w:szCs w:val="20"/>
        </w:rPr>
      </w:pPr>
      <w:r w:rsidRPr="001957C4">
        <w:rPr>
          <w:rFonts w:ascii="Arial" w:hAnsi="Arial" w:cs="Arial"/>
          <w:b/>
          <w:sz w:val="20"/>
          <w:szCs w:val="20"/>
        </w:rPr>
        <w:t xml:space="preserve">Presseinformation, </w:t>
      </w:r>
      <w:r>
        <w:rPr>
          <w:rFonts w:ascii="Arial" w:hAnsi="Arial" w:cs="Arial"/>
          <w:b/>
          <w:sz w:val="20"/>
          <w:szCs w:val="20"/>
        </w:rPr>
        <w:t>März 201</w:t>
      </w:r>
      <w:r w:rsidR="00E625BC">
        <w:rPr>
          <w:rFonts w:ascii="Arial" w:hAnsi="Arial" w:cs="Arial"/>
          <w:b/>
          <w:sz w:val="20"/>
          <w:szCs w:val="20"/>
        </w:rPr>
        <w:t>7</w:t>
      </w:r>
    </w:p>
    <w:p w:rsidR="009D02B8" w:rsidRDefault="009D02B8" w:rsidP="009D02B8">
      <w:pPr>
        <w:rPr>
          <w:rFonts w:ascii="Arial" w:hAnsi="Arial" w:cs="Arial"/>
          <w:b/>
          <w:sz w:val="48"/>
          <w:szCs w:val="48"/>
        </w:rPr>
      </w:pPr>
    </w:p>
    <w:p w:rsidR="009D02B8" w:rsidRDefault="004E6796" w:rsidP="009D02B8">
      <w:pPr>
        <w:spacing w:after="0" w:line="360" w:lineRule="auto"/>
        <w:jc w:val="both"/>
        <w:rPr>
          <w:rFonts w:ascii="GutmannMeta-Medi" w:hAnsi="GutmannMeta-Medi" w:cs="GutmannMeta-Medi"/>
          <w:color w:val="FF0000"/>
          <w:sz w:val="40"/>
          <w:szCs w:val="40"/>
        </w:rPr>
      </w:pPr>
      <w:r>
        <w:rPr>
          <w:rFonts w:ascii="GutmannMeta-Medi" w:hAnsi="GutmannMeta-Medi" w:cs="GutmannMeta-Medi"/>
          <w:color w:val="FF0000"/>
          <w:sz w:val="40"/>
          <w:szCs w:val="40"/>
        </w:rPr>
        <w:t>SICHERHEIT MIT SYSTEM</w:t>
      </w:r>
    </w:p>
    <w:p w:rsidR="000371D3" w:rsidRDefault="004E6796" w:rsidP="00101EA9">
      <w:pPr>
        <w:rPr>
          <w:b/>
        </w:rPr>
      </w:pPr>
      <w:r>
        <w:rPr>
          <w:rFonts w:ascii="Arial" w:hAnsi="Arial" w:cs="Arial"/>
          <w:noProof/>
          <w:color w:val="5C5C5C"/>
          <w:lang w:eastAsia="de-DE"/>
        </w:rPr>
        <w:drawing>
          <wp:anchor distT="0" distB="0" distL="114300" distR="114300" simplePos="0" relativeHeight="251658240" behindDoc="0" locked="0" layoutInCell="1" allowOverlap="1" wp14:anchorId="0B9C4033" wp14:editId="04579FCD">
            <wp:simplePos x="0" y="0"/>
            <wp:positionH relativeFrom="column">
              <wp:posOffset>-280035</wp:posOffset>
            </wp:positionH>
            <wp:positionV relativeFrom="paragraph">
              <wp:posOffset>410210</wp:posOffset>
            </wp:positionV>
            <wp:extent cx="6228080" cy="3426460"/>
            <wp:effectExtent l="0" t="0" r="1270" b="2540"/>
            <wp:wrapTopAndBottom/>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_RC_2016.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28080" cy="3426460"/>
                    </a:xfrm>
                    <a:prstGeom prst="rect">
                      <a:avLst/>
                    </a:prstGeom>
                  </pic:spPr>
                </pic:pic>
              </a:graphicData>
            </a:graphic>
            <wp14:sizeRelH relativeFrom="margin">
              <wp14:pctWidth>0</wp14:pctWidth>
            </wp14:sizeRelH>
            <wp14:sizeRelV relativeFrom="margin">
              <wp14:pctHeight>0</wp14:pctHeight>
            </wp14:sizeRelV>
          </wp:anchor>
        </w:drawing>
      </w:r>
      <w:r>
        <w:rPr>
          <w:b/>
        </w:rPr>
        <w:t>RC-geprüfte Holz-Aluminium Systeme von GUTMANN</w:t>
      </w:r>
    </w:p>
    <w:p w:rsidR="00101EA9" w:rsidRDefault="00101EA9" w:rsidP="00101EA9"/>
    <w:p w:rsidR="004E6796" w:rsidRPr="004E6796" w:rsidRDefault="004E6796" w:rsidP="00A5608E">
      <w:pPr>
        <w:pStyle w:val="StandardWeb"/>
        <w:spacing w:before="0" w:beforeAutospacing="0" w:after="0" w:afterAutospacing="0" w:line="360" w:lineRule="atLeast"/>
        <w:jc w:val="both"/>
        <w:rPr>
          <w:rFonts w:ascii="Arial" w:hAnsi="Arial" w:cs="Arial"/>
          <w:color w:val="5C5C5C"/>
          <w:sz w:val="20"/>
          <w:szCs w:val="20"/>
        </w:rPr>
      </w:pPr>
      <w:r w:rsidRPr="004E6796">
        <w:rPr>
          <w:rFonts w:ascii="Arial" w:hAnsi="Arial" w:cs="Arial"/>
          <w:color w:val="5C5C5C"/>
          <w:sz w:val="20"/>
          <w:szCs w:val="20"/>
        </w:rPr>
        <w:t>Fa. Hermann ASAL GmbH, Fachgroßhandel aus Offenburg und langjähriger GUTMANN Partner, hat am 08. und 09. Februar 2017 unter dem Motto „SICHERHEIT MIT SYSTEM“ zu einem jeweils ganztägigen Kundenseminar eingeladen. Diese Veranstaltung wurde speziell für Holzfenster-Verarbeiter mit dem Schwerpunkt Holz-Aluminium-Fenster ausgerichtet. Insgesamt 50 Personen folgten der Einladung und ließen sich an den zwei Tagen kompakt informieren.</w:t>
      </w:r>
    </w:p>
    <w:p w:rsidR="004E6796" w:rsidRPr="004E6796" w:rsidRDefault="004E6796" w:rsidP="00A5608E">
      <w:pPr>
        <w:pStyle w:val="StandardWeb"/>
        <w:spacing w:before="300" w:beforeAutospacing="0" w:after="0" w:afterAutospacing="0" w:line="360" w:lineRule="atLeast"/>
        <w:jc w:val="both"/>
        <w:rPr>
          <w:rFonts w:ascii="Arial" w:hAnsi="Arial" w:cs="Arial"/>
          <w:color w:val="5C5C5C"/>
          <w:sz w:val="20"/>
          <w:szCs w:val="20"/>
        </w:rPr>
      </w:pPr>
      <w:r w:rsidRPr="004E6796">
        <w:rPr>
          <w:rFonts w:ascii="Arial" w:hAnsi="Arial" w:cs="Arial"/>
          <w:color w:val="5C5C5C"/>
          <w:sz w:val="20"/>
          <w:szCs w:val="20"/>
        </w:rPr>
        <w:t xml:space="preserve">Hierbei wurden die Kunden vom Systemgeber, der GUTMANN AG aus Weißenburg,  zu dem an Bedeutung gewinnenden Thema „RC2 an Holz-Aluminium Elementen“ geschult und zertifiziert. Bei </w:t>
      </w:r>
      <w:r w:rsidRPr="004E6796">
        <w:rPr>
          <w:rFonts w:ascii="Arial" w:hAnsi="Arial" w:cs="Arial"/>
          <w:color w:val="5C5C5C"/>
          <w:sz w:val="20"/>
          <w:szCs w:val="20"/>
        </w:rPr>
        <w:lastRenderedPageBreak/>
        <w:t>den Vorträgen erlangten die Besucher detaillierte Kenntnisse über die Fensterkonstruktionen und grundlegende Informationen zur Sicherheit rund um das Fenster.</w:t>
      </w:r>
    </w:p>
    <w:p w:rsidR="004E6796" w:rsidRPr="004E6796" w:rsidRDefault="004E6796" w:rsidP="00A5608E">
      <w:pPr>
        <w:spacing w:line="360" w:lineRule="atLeast"/>
        <w:jc w:val="both"/>
        <w:rPr>
          <w:rFonts w:ascii="Arial" w:hAnsi="Arial" w:cs="Arial"/>
          <w:sz w:val="20"/>
          <w:szCs w:val="20"/>
        </w:rPr>
      </w:pPr>
      <w:r w:rsidRPr="004E6796">
        <w:rPr>
          <w:rFonts w:ascii="Arial" w:hAnsi="Arial" w:cs="Arial"/>
          <w:color w:val="5C5C5C"/>
          <w:sz w:val="20"/>
          <w:szCs w:val="20"/>
        </w:rPr>
        <w:t>Sinnvoll ergänzt und abgerundet wurden die Veranstaltungstage durch Fachvorträge der Firmen Maco Beschläge, SFS und Soudal, die zusätzlich während der Pausen an eigens hierfür vorbereitete</w:t>
      </w:r>
      <w:r w:rsidR="00EA284F">
        <w:rPr>
          <w:rFonts w:ascii="Arial" w:hAnsi="Arial" w:cs="Arial"/>
          <w:color w:val="5C5C5C"/>
          <w:sz w:val="20"/>
          <w:szCs w:val="20"/>
        </w:rPr>
        <w:t>n</w:t>
      </w:r>
      <w:bookmarkStart w:id="0" w:name="_GoBack"/>
      <w:bookmarkEnd w:id="0"/>
      <w:r w:rsidRPr="004E6796">
        <w:rPr>
          <w:rFonts w:ascii="Arial" w:hAnsi="Arial" w:cs="Arial"/>
          <w:color w:val="5C5C5C"/>
          <w:sz w:val="20"/>
          <w:szCs w:val="20"/>
        </w:rPr>
        <w:t xml:space="preserve"> Informationsständen den zahlreichen Fragen der Besucher zur Verfügung standen und Produktneuheiten sowie Hilfsmittel für den fachgerechten Einbau präsentierten.</w:t>
      </w:r>
      <w:r w:rsidRPr="004E6796">
        <w:rPr>
          <w:rFonts w:ascii="Arial" w:hAnsi="Arial" w:cs="Arial"/>
          <w:color w:val="5C5C5C"/>
          <w:sz w:val="20"/>
          <w:szCs w:val="20"/>
        </w:rPr>
        <w:br/>
      </w:r>
      <w:r w:rsidRPr="004E6796">
        <w:rPr>
          <w:rFonts w:ascii="Arial" w:hAnsi="Arial" w:cs="Arial"/>
          <w:color w:val="5C5C5C"/>
          <w:sz w:val="20"/>
          <w:szCs w:val="20"/>
        </w:rPr>
        <w:br/>
      </w:r>
      <w:r w:rsidRPr="001B1DC7">
        <w:rPr>
          <w:rFonts w:ascii="Arial" w:hAnsi="Arial" w:cs="Arial"/>
          <w:sz w:val="20"/>
          <w:szCs w:val="20"/>
        </w:rPr>
        <w:t xml:space="preserve">Die </w:t>
      </w:r>
      <w:r>
        <w:rPr>
          <w:rFonts w:ascii="Arial" w:hAnsi="Arial" w:cs="Arial"/>
          <w:sz w:val="20"/>
          <w:szCs w:val="20"/>
        </w:rPr>
        <w:t xml:space="preserve">GUTMANN </w:t>
      </w:r>
      <w:r w:rsidRPr="001B1DC7">
        <w:rPr>
          <w:rFonts w:ascii="Arial" w:hAnsi="Arial" w:cs="Arial"/>
          <w:sz w:val="20"/>
          <w:szCs w:val="20"/>
        </w:rPr>
        <w:t>Gruppe ist eine weltweit agierende Unternehmensgruppe</w:t>
      </w:r>
      <w:r>
        <w:rPr>
          <w:rFonts w:ascii="Arial" w:hAnsi="Arial" w:cs="Arial"/>
          <w:sz w:val="20"/>
          <w:szCs w:val="20"/>
        </w:rPr>
        <w:t xml:space="preserve"> mit einem von 3 Kernsegmenten, den Bausystemen. Dieses Segment</w:t>
      </w:r>
      <w:r w:rsidRPr="001B1DC7">
        <w:rPr>
          <w:rFonts w:ascii="Arial" w:hAnsi="Arial" w:cs="Arial"/>
          <w:sz w:val="20"/>
          <w:szCs w:val="20"/>
        </w:rPr>
        <w:t xml:space="preserve"> wird </w:t>
      </w:r>
      <w:r>
        <w:rPr>
          <w:rFonts w:ascii="Arial" w:hAnsi="Arial" w:cs="Arial"/>
          <w:sz w:val="20"/>
          <w:szCs w:val="20"/>
        </w:rPr>
        <w:t>von dem</w:t>
      </w:r>
      <w:r w:rsidRPr="001B1DC7">
        <w:rPr>
          <w:rFonts w:ascii="Arial" w:hAnsi="Arial" w:cs="Arial"/>
          <w:sz w:val="20"/>
          <w:szCs w:val="20"/>
        </w:rPr>
        <w:t xml:space="preserve"> fränkischen Weissenburg aus geleitet und umfasst die Bereiche Baubeschläge, Metallverbund Systeme und Aluminium Systeme.</w:t>
      </w:r>
      <w:r>
        <w:rPr>
          <w:rFonts w:ascii="Arial" w:hAnsi="Arial" w:cs="Arial"/>
          <w:sz w:val="20"/>
          <w:szCs w:val="20"/>
        </w:rPr>
        <w:t xml:space="preserve"> </w:t>
      </w:r>
      <w:r w:rsidRPr="004E6796">
        <w:rPr>
          <w:rFonts w:ascii="Arial" w:hAnsi="Arial" w:cs="Arial"/>
          <w:color w:val="5C5C5C"/>
          <w:sz w:val="20"/>
          <w:szCs w:val="20"/>
        </w:rPr>
        <w:t>GUTMANN bietet für den Einbruchschutz eine große Auswahl von Holz-Aluminium Systemen an, die je nach optischer und technischer Anforderung in vielen Varianten ausgeführt werden können. Alle Varianten erfüllen die aktuellen Anforderungen gemäß DIN EN 1627:2011 und erreichen je nach Ausführung die Klassifizierung RC 2 oder RC 3.</w:t>
      </w:r>
    </w:p>
    <w:p w:rsidR="004E6796" w:rsidRPr="004E6796" w:rsidRDefault="004E6796" w:rsidP="004E6796">
      <w:pPr>
        <w:pStyle w:val="StandardWeb"/>
        <w:spacing w:before="300" w:beforeAutospacing="0" w:after="0" w:afterAutospacing="0" w:line="360" w:lineRule="atLeast"/>
        <w:rPr>
          <w:rFonts w:ascii="Arial" w:hAnsi="Arial" w:cs="Arial"/>
          <w:color w:val="5C5C5C"/>
          <w:sz w:val="20"/>
          <w:szCs w:val="20"/>
        </w:rPr>
      </w:pPr>
      <w:r w:rsidRPr="004E6796">
        <w:rPr>
          <w:rFonts w:ascii="Arial" w:hAnsi="Arial" w:cs="Arial"/>
          <w:color w:val="5C5C5C"/>
          <w:sz w:val="20"/>
          <w:szCs w:val="20"/>
        </w:rPr>
        <w:br/>
      </w:r>
      <w:r w:rsidRPr="004E6796">
        <w:rPr>
          <w:rStyle w:val="Fett"/>
          <w:rFonts w:ascii="Arial" w:hAnsi="Arial" w:cs="Arial"/>
          <w:color w:val="5C5C5C"/>
          <w:sz w:val="20"/>
          <w:szCs w:val="20"/>
        </w:rPr>
        <w:t xml:space="preserve">Folgende Varianten bzw. Ausführungsformen stehen für die Einbruchhemmung der Klassifizierung  </w:t>
      </w:r>
      <w:r w:rsidRPr="004E6796">
        <w:rPr>
          <w:rStyle w:val="Fett"/>
          <w:rFonts w:ascii="Arial" w:hAnsi="Arial" w:cs="Arial"/>
          <w:color w:val="E3001B"/>
          <w:sz w:val="20"/>
          <w:szCs w:val="20"/>
        </w:rPr>
        <w:t>RC 2</w:t>
      </w:r>
      <w:r w:rsidRPr="004E6796">
        <w:rPr>
          <w:rStyle w:val="Fett"/>
          <w:rFonts w:ascii="Arial" w:hAnsi="Arial" w:cs="Arial"/>
          <w:color w:val="5C5C5C"/>
          <w:sz w:val="20"/>
          <w:szCs w:val="20"/>
        </w:rPr>
        <w:t>  zur Verfügung:</w:t>
      </w:r>
    </w:p>
    <w:p w:rsidR="004E6796" w:rsidRDefault="004E6796" w:rsidP="004E6796">
      <w:pPr>
        <w:numPr>
          <w:ilvl w:val="0"/>
          <w:numId w:val="1"/>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GUTMANN MIRA, MIR</w:t>
      </w:r>
      <w:r>
        <w:rPr>
          <w:rFonts w:ascii="Arial" w:eastAsia="Times New Roman" w:hAnsi="Arial" w:cs="Arial"/>
          <w:color w:val="E3001B"/>
          <w:sz w:val="20"/>
          <w:szCs w:val="20"/>
        </w:rPr>
        <w:t>A contour, MIRA contour integral</w:t>
      </w:r>
    </w:p>
    <w:p w:rsidR="004E6796" w:rsidRPr="004E6796" w:rsidRDefault="004E6796" w:rsidP="004E6796">
      <w:pPr>
        <w:numPr>
          <w:ilvl w:val="0"/>
          <w:numId w:val="1"/>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Flügelgrößen von ganz klein bis ganz groß: Größenbegrenzung nur durch Beschlaggrenzen</w:t>
      </w:r>
      <w:r w:rsidRPr="004E6796">
        <w:rPr>
          <w:rFonts w:ascii="Arial" w:eastAsia="Times New Roman" w:hAnsi="Arial" w:cs="Arial"/>
          <w:color w:val="5C5C5C"/>
          <w:sz w:val="20"/>
          <w:szCs w:val="20"/>
        </w:rPr>
        <w:t> </w:t>
      </w:r>
    </w:p>
    <w:p w:rsidR="004E6796" w:rsidRDefault="004E6796" w:rsidP="004E6796">
      <w:pPr>
        <w:numPr>
          <w:ilvl w:val="0"/>
          <w:numId w:val="1"/>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Holzarten ab 0,43 kg/dm3 spezifischem Gewicht („ab Fichte“)</w:t>
      </w:r>
    </w:p>
    <w:p w:rsidR="004E6796" w:rsidRPr="004E6796" w:rsidRDefault="004E6796" w:rsidP="004E6796">
      <w:pPr>
        <w:numPr>
          <w:ilvl w:val="0"/>
          <w:numId w:val="1"/>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Holzdicken ab 68 mm</w:t>
      </w:r>
    </w:p>
    <w:p w:rsidR="004E6796" w:rsidRPr="004E6796" w:rsidRDefault="004E6796" w:rsidP="004E6796">
      <w:pPr>
        <w:numPr>
          <w:ilvl w:val="0"/>
          <w:numId w:val="1"/>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Einfalz- und Doppelfalz-Konstruktionen</w:t>
      </w:r>
    </w:p>
    <w:p w:rsidR="004E6796" w:rsidRPr="004E6796" w:rsidRDefault="004E6796" w:rsidP="004E6796">
      <w:pPr>
        <w:numPr>
          <w:ilvl w:val="0"/>
          <w:numId w:val="1"/>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Öffnungsarten: Dreh, Drehkipp, Stulp, Oberlicht, Festverglasung, Paneele</w:t>
      </w:r>
    </w:p>
    <w:p w:rsidR="004E6796" w:rsidRPr="004E6796" w:rsidRDefault="004E6796" w:rsidP="004E6796">
      <w:pPr>
        <w:numPr>
          <w:ilvl w:val="0"/>
          <w:numId w:val="1"/>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Mit Beschlägen GU, Maco, Roto, Siegenia und Winkhaus möglich</w:t>
      </w:r>
    </w:p>
    <w:p w:rsidR="004E6796" w:rsidRPr="004E6796" w:rsidRDefault="004E6796" w:rsidP="004E6796">
      <w:pPr>
        <w:numPr>
          <w:ilvl w:val="0"/>
          <w:numId w:val="1"/>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Beschlagachse ab 9 mm</w:t>
      </w:r>
    </w:p>
    <w:p w:rsidR="004E6796" w:rsidRPr="004E6796" w:rsidRDefault="004E6796" w:rsidP="004E6796">
      <w:pPr>
        <w:numPr>
          <w:ilvl w:val="0"/>
          <w:numId w:val="1"/>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Einbruchhemmende P4A Scheibe nach innen u. außen einbaubar</w:t>
      </w:r>
    </w:p>
    <w:p w:rsidR="004E6796" w:rsidRPr="004E6796" w:rsidRDefault="004E6796" w:rsidP="004E6796">
      <w:pPr>
        <w:pStyle w:val="StandardWeb"/>
        <w:spacing w:before="300" w:beforeAutospacing="0" w:after="0" w:afterAutospacing="0" w:line="360" w:lineRule="atLeast"/>
        <w:rPr>
          <w:rFonts w:ascii="Arial" w:hAnsi="Arial" w:cs="Arial"/>
          <w:color w:val="5C5C5C"/>
          <w:sz w:val="20"/>
          <w:szCs w:val="20"/>
        </w:rPr>
      </w:pPr>
      <w:r w:rsidRPr="004E6796">
        <w:rPr>
          <w:rFonts w:ascii="Arial" w:hAnsi="Arial" w:cs="Arial"/>
          <w:color w:val="5C5C5C"/>
          <w:sz w:val="20"/>
          <w:szCs w:val="20"/>
        </w:rPr>
        <w:br/>
      </w:r>
      <w:r w:rsidRPr="004E6796">
        <w:rPr>
          <w:rStyle w:val="Fett"/>
          <w:rFonts w:ascii="Arial" w:hAnsi="Arial" w:cs="Arial"/>
          <w:color w:val="5C5C5C"/>
          <w:sz w:val="20"/>
          <w:szCs w:val="20"/>
        </w:rPr>
        <w:t xml:space="preserve">Auch bei  </w:t>
      </w:r>
      <w:r w:rsidRPr="004E6796">
        <w:rPr>
          <w:rStyle w:val="Fett"/>
          <w:rFonts w:ascii="Arial" w:hAnsi="Arial" w:cs="Arial"/>
          <w:color w:val="E3001B"/>
          <w:sz w:val="20"/>
          <w:szCs w:val="20"/>
        </w:rPr>
        <w:t>RC 3</w:t>
      </w:r>
      <w:r w:rsidRPr="004E6796">
        <w:rPr>
          <w:rStyle w:val="Fett"/>
          <w:rFonts w:ascii="Arial" w:hAnsi="Arial" w:cs="Arial"/>
          <w:color w:val="5C5C5C"/>
          <w:sz w:val="20"/>
          <w:szCs w:val="20"/>
        </w:rPr>
        <w:t>  Elementen sind verschiedene Varianten ausführbar:</w:t>
      </w:r>
    </w:p>
    <w:p w:rsidR="004E6796" w:rsidRPr="004E6796" w:rsidRDefault="004E6796" w:rsidP="004E6796">
      <w:pPr>
        <w:numPr>
          <w:ilvl w:val="0"/>
          <w:numId w:val="2"/>
        </w:numPr>
        <w:spacing w:before="300"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 xml:space="preserve">Grundauswahl an Holz-Aluminium Systemen, z.B. GUTMANN MIRA, MIRA contour, </w:t>
      </w:r>
      <w:r w:rsidR="00A5608E">
        <w:rPr>
          <w:rFonts w:ascii="Arial" w:eastAsia="Times New Roman" w:hAnsi="Arial" w:cs="Arial"/>
          <w:color w:val="E3001B"/>
          <w:sz w:val="20"/>
          <w:szCs w:val="20"/>
        </w:rPr>
        <w:br/>
      </w:r>
      <w:r w:rsidRPr="004E6796">
        <w:rPr>
          <w:rFonts w:ascii="Arial" w:eastAsia="Times New Roman" w:hAnsi="Arial" w:cs="Arial"/>
          <w:color w:val="E3001B"/>
          <w:sz w:val="20"/>
          <w:szCs w:val="20"/>
        </w:rPr>
        <w:t>MIRA therm 08</w:t>
      </w:r>
    </w:p>
    <w:p w:rsidR="004E6796" w:rsidRPr="004E6796" w:rsidRDefault="004E6796" w:rsidP="004E6796">
      <w:pPr>
        <w:numPr>
          <w:ilvl w:val="0"/>
          <w:numId w:val="2"/>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Flügelgrößen von klein bis groß: Größenbegrenzung nur durch</w:t>
      </w:r>
      <w:r>
        <w:rPr>
          <w:rFonts w:ascii="Arial" w:eastAsia="Times New Roman" w:hAnsi="Arial" w:cs="Arial"/>
          <w:color w:val="E3001B"/>
          <w:sz w:val="20"/>
          <w:szCs w:val="20"/>
        </w:rPr>
        <w:t xml:space="preserve"> Beschlagvorgaben</w:t>
      </w:r>
    </w:p>
    <w:p w:rsidR="00A37FA4" w:rsidRPr="00A5608E" w:rsidRDefault="004E6796" w:rsidP="004E6796">
      <w:pPr>
        <w:numPr>
          <w:ilvl w:val="0"/>
          <w:numId w:val="2"/>
        </w:numPr>
        <w:spacing w:after="0" w:line="360" w:lineRule="atLeast"/>
        <w:ind w:left="360"/>
        <w:rPr>
          <w:rFonts w:ascii="Arial" w:eastAsia="Times New Roman" w:hAnsi="Arial" w:cs="Arial"/>
          <w:color w:val="5C5C5C"/>
          <w:sz w:val="20"/>
          <w:szCs w:val="20"/>
        </w:rPr>
      </w:pPr>
      <w:r w:rsidRPr="004E6796">
        <w:rPr>
          <w:rFonts w:ascii="Arial" w:eastAsia="Times New Roman" w:hAnsi="Arial" w:cs="Arial"/>
          <w:color w:val="E3001B"/>
          <w:sz w:val="20"/>
          <w:szCs w:val="20"/>
        </w:rPr>
        <w:t>Holzdicke ab 78 mm</w:t>
      </w:r>
    </w:p>
    <w:p w:rsidR="00A5608E" w:rsidRDefault="00A5608E" w:rsidP="00A5608E">
      <w:pPr>
        <w:spacing w:after="0" w:line="360" w:lineRule="atLeast"/>
        <w:rPr>
          <w:rFonts w:ascii="Arial" w:eastAsia="Times New Roman" w:hAnsi="Arial" w:cs="Arial"/>
          <w:color w:val="E3001B"/>
          <w:sz w:val="20"/>
          <w:szCs w:val="20"/>
        </w:rPr>
      </w:pPr>
    </w:p>
    <w:p w:rsidR="00A5608E" w:rsidRDefault="00A5608E" w:rsidP="00A5608E">
      <w:pPr>
        <w:spacing w:after="0" w:line="360" w:lineRule="atLeast"/>
        <w:rPr>
          <w:rFonts w:ascii="Arial" w:eastAsia="Times New Roman" w:hAnsi="Arial" w:cs="Arial"/>
          <w:color w:val="E3001B"/>
          <w:sz w:val="20"/>
          <w:szCs w:val="20"/>
        </w:rPr>
      </w:pPr>
    </w:p>
    <w:p w:rsidR="00A5608E" w:rsidRPr="004E6796" w:rsidRDefault="00A5608E" w:rsidP="00A5608E">
      <w:pPr>
        <w:spacing w:after="0" w:line="360" w:lineRule="atLeast"/>
        <w:jc w:val="both"/>
        <w:rPr>
          <w:rFonts w:ascii="Arial" w:eastAsia="Times New Roman" w:hAnsi="Arial" w:cs="Arial"/>
          <w:color w:val="5C5C5C"/>
          <w:sz w:val="20"/>
          <w:szCs w:val="20"/>
        </w:rPr>
      </w:pPr>
      <w:r>
        <w:rPr>
          <w:rFonts w:ascii="Arial" w:hAnsi="Arial" w:cs="Arial"/>
          <w:sz w:val="20"/>
          <w:szCs w:val="20"/>
        </w:rPr>
        <w:t>Wieder einmal konnten die oben genannten Partner und Gäste zufrieden auf eine Kundenveranstaltung der Hermann ASAL GmbH zurück blicken. Der Spezialist aus Offenburg, u.a. mit Sortimentsschwerpunkt Fenster, ist in der Region bekannt für kundenorientierten Service und qualitativ hochwertige Dienstleistungen, die zusammen das Sortiment gekonnt abrunden.</w:t>
      </w:r>
      <w:r>
        <w:rPr>
          <w:rFonts w:ascii="Arial" w:hAnsi="Arial" w:cs="Arial"/>
          <w:sz w:val="20"/>
          <w:szCs w:val="20"/>
        </w:rPr>
        <w:br/>
      </w:r>
      <w:r>
        <w:rPr>
          <w:noProof/>
          <w:lang w:eastAsia="de-DE"/>
        </w:rPr>
        <w:lastRenderedPageBreak/>
        <w:drawing>
          <wp:inline distT="0" distB="0" distL="0" distR="0" wp14:anchorId="3C2AAD71" wp14:editId="31CC066F">
            <wp:extent cx="5830866" cy="380047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830866" cy="3800475"/>
                    </a:xfrm>
                    <a:prstGeom prst="rect">
                      <a:avLst/>
                    </a:prstGeom>
                  </pic:spPr>
                </pic:pic>
              </a:graphicData>
            </a:graphic>
          </wp:inline>
        </w:drawing>
      </w:r>
      <w:r>
        <w:rPr>
          <w:rFonts w:ascii="Arial" w:hAnsi="Arial" w:cs="Arial"/>
          <w:sz w:val="20"/>
          <w:szCs w:val="20"/>
        </w:rPr>
        <w:br/>
      </w:r>
    </w:p>
    <w:sectPr w:rsidR="00A5608E" w:rsidRPr="004E6796" w:rsidSect="00A5608E">
      <w:pgSz w:w="11906" w:h="16838"/>
      <w:pgMar w:top="1134"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utmannMeta-Medi">
    <w:panose1 w:val="020B0604030101020102"/>
    <w:charset w:val="00"/>
    <w:family w:val="swiss"/>
    <w:notTrueType/>
    <w:pitch w:val="variable"/>
    <w:sig w:usb0="A00002B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2BA5"/>
    <w:multiLevelType w:val="multilevel"/>
    <w:tmpl w:val="3C0892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7C941169"/>
    <w:multiLevelType w:val="multilevel"/>
    <w:tmpl w:val="1BB414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7B1"/>
    <w:rsid w:val="000371D3"/>
    <w:rsid w:val="00052A23"/>
    <w:rsid w:val="00096240"/>
    <w:rsid w:val="00101EA9"/>
    <w:rsid w:val="0016202A"/>
    <w:rsid w:val="001B1DC7"/>
    <w:rsid w:val="0021776B"/>
    <w:rsid w:val="00280E98"/>
    <w:rsid w:val="002A6DD0"/>
    <w:rsid w:val="0033298D"/>
    <w:rsid w:val="0034708C"/>
    <w:rsid w:val="003D3723"/>
    <w:rsid w:val="00423AC0"/>
    <w:rsid w:val="004E6796"/>
    <w:rsid w:val="004F6026"/>
    <w:rsid w:val="00577A8E"/>
    <w:rsid w:val="006035D9"/>
    <w:rsid w:val="00603ED8"/>
    <w:rsid w:val="006617B1"/>
    <w:rsid w:val="006C1E3D"/>
    <w:rsid w:val="00780EE6"/>
    <w:rsid w:val="00787C72"/>
    <w:rsid w:val="00876E4A"/>
    <w:rsid w:val="009D02B8"/>
    <w:rsid w:val="00A255BA"/>
    <w:rsid w:val="00A37FA4"/>
    <w:rsid w:val="00A5608E"/>
    <w:rsid w:val="00B16589"/>
    <w:rsid w:val="00BC1F54"/>
    <w:rsid w:val="00C86F2C"/>
    <w:rsid w:val="00CC4552"/>
    <w:rsid w:val="00D21F1B"/>
    <w:rsid w:val="00D27465"/>
    <w:rsid w:val="00DF4124"/>
    <w:rsid w:val="00E04707"/>
    <w:rsid w:val="00E079BD"/>
    <w:rsid w:val="00E122DF"/>
    <w:rsid w:val="00E13643"/>
    <w:rsid w:val="00E60411"/>
    <w:rsid w:val="00E625BC"/>
    <w:rsid w:val="00E70AF7"/>
    <w:rsid w:val="00EA284F"/>
    <w:rsid w:val="00EC4F96"/>
    <w:rsid w:val="00F24744"/>
    <w:rsid w:val="00FC68A7"/>
    <w:rsid w:val="00FE42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D02B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D02B8"/>
    <w:rPr>
      <w:rFonts w:ascii="Tahoma" w:hAnsi="Tahoma" w:cs="Tahoma"/>
      <w:sz w:val="16"/>
      <w:szCs w:val="16"/>
    </w:rPr>
  </w:style>
  <w:style w:type="paragraph" w:styleId="StandardWeb">
    <w:name w:val="Normal (Web)"/>
    <w:basedOn w:val="Standard"/>
    <w:uiPriority w:val="99"/>
    <w:semiHidden/>
    <w:unhideWhenUsed/>
    <w:rsid w:val="004E6796"/>
    <w:pPr>
      <w:spacing w:before="100" w:beforeAutospacing="1" w:after="100" w:afterAutospacing="1" w:line="240" w:lineRule="auto"/>
    </w:pPr>
    <w:rPr>
      <w:rFonts w:ascii="Times New Roman" w:hAnsi="Times New Roman" w:cs="Times New Roman"/>
      <w:sz w:val="24"/>
      <w:szCs w:val="24"/>
      <w:lang w:eastAsia="de-DE"/>
    </w:rPr>
  </w:style>
  <w:style w:type="character" w:styleId="Fett">
    <w:name w:val="Strong"/>
    <w:basedOn w:val="Absatz-Standardschriftart"/>
    <w:uiPriority w:val="22"/>
    <w:qFormat/>
    <w:rsid w:val="004E6796"/>
    <w:rPr>
      <w:b/>
      <w:bCs/>
    </w:rPr>
  </w:style>
  <w:style w:type="paragraph" w:styleId="Listenabsatz">
    <w:name w:val="List Paragraph"/>
    <w:basedOn w:val="Standard"/>
    <w:uiPriority w:val="34"/>
    <w:qFormat/>
    <w:rsid w:val="004E67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D02B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D02B8"/>
    <w:rPr>
      <w:rFonts w:ascii="Tahoma" w:hAnsi="Tahoma" w:cs="Tahoma"/>
      <w:sz w:val="16"/>
      <w:szCs w:val="16"/>
    </w:rPr>
  </w:style>
  <w:style w:type="paragraph" w:styleId="StandardWeb">
    <w:name w:val="Normal (Web)"/>
    <w:basedOn w:val="Standard"/>
    <w:uiPriority w:val="99"/>
    <w:semiHidden/>
    <w:unhideWhenUsed/>
    <w:rsid w:val="004E6796"/>
    <w:pPr>
      <w:spacing w:before="100" w:beforeAutospacing="1" w:after="100" w:afterAutospacing="1" w:line="240" w:lineRule="auto"/>
    </w:pPr>
    <w:rPr>
      <w:rFonts w:ascii="Times New Roman" w:hAnsi="Times New Roman" w:cs="Times New Roman"/>
      <w:sz w:val="24"/>
      <w:szCs w:val="24"/>
      <w:lang w:eastAsia="de-DE"/>
    </w:rPr>
  </w:style>
  <w:style w:type="character" w:styleId="Fett">
    <w:name w:val="Strong"/>
    <w:basedOn w:val="Absatz-Standardschriftart"/>
    <w:uiPriority w:val="22"/>
    <w:qFormat/>
    <w:rsid w:val="004E6796"/>
    <w:rPr>
      <w:b/>
      <w:bCs/>
    </w:rPr>
  </w:style>
  <w:style w:type="paragraph" w:styleId="Listenabsatz">
    <w:name w:val="List Paragraph"/>
    <w:basedOn w:val="Standard"/>
    <w:uiPriority w:val="34"/>
    <w:qFormat/>
    <w:rsid w:val="004E67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11877">
      <w:bodyDiv w:val="1"/>
      <w:marLeft w:val="0"/>
      <w:marRight w:val="0"/>
      <w:marTop w:val="0"/>
      <w:marBottom w:val="0"/>
      <w:divBdr>
        <w:top w:val="none" w:sz="0" w:space="0" w:color="auto"/>
        <w:left w:val="none" w:sz="0" w:space="0" w:color="auto"/>
        <w:bottom w:val="none" w:sz="0" w:space="0" w:color="auto"/>
        <w:right w:val="none" w:sz="0" w:space="0" w:color="auto"/>
      </w:divBdr>
    </w:div>
    <w:div w:id="392585312">
      <w:bodyDiv w:val="1"/>
      <w:marLeft w:val="0"/>
      <w:marRight w:val="0"/>
      <w:marTop w:val="0"/>
      <w:marBottom w:val="0"/>
      <w:divBdr>
        <w:top w:val="none" w:sz="0" w:space="0" w:color="auto"/>
        <w:left w:val="none" w:sz="0" w:space="0" w:color="auto"/>
        <w:bottom w:val="none" w:sz="0" w:space="0" w:color="auto"/>
        <w:right w:val="none" w:sz="0" w:space="0" w:color="auto"/>
      </w:divBdr>
    </w:div>
    <w:div w:id="738865823">
      <w:bodyDiv w:val="1"/>
      <w:marLeft w:val="0"/>
      <w:marRight w:val="0"/>
      <w:marTop w:val="0"/>
      <w:marBottom w:val="0"/>
      <w:divBdr>
        <w:top w:val="none" w:sz="0" w:space="0" w:color="auto"/>
        <w:left w:val="none" w:sz="0" w:space="0" w:color="auto"/>
        <w:bottom w:val="none" w:sz="0" w:space="0" w:color="auto"/>
        <w:right w:val="none" w:sz="0" w:space="0" w:color="auto"/>
      </w:divBdr>
    </w:div>
    <w:div w:id="140622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390</Words>
  <Characters>2624</Characters>
  <Application>Microsoft Office Word</Application>
  <DocSecurity>0</DocSecurity>
  <Lines>54</Lines>
  <Paragraphs>23</Paragraphs>
  <ScaleCrop>false</ScaleCrop>
  <HeadingPairs>
    <vt:vector size="2" baseType="variant">
      <vt:variant>
        <vt:lpstr>Titel</vt:lpstr>
      </vt:variant>
      <vt:variant>
        <vt:i4>1</vt:i4>
      </vt:variant>
    </vt:vector>
  </HeadingPairs>
  <TitlesOfParts>
    <vt:vector size="1" baseType="lpstr">
      <vt:lpstr/>
    </vt:vector>
  </TitlesOfParts>
  <Company>Hydro</Company>
  <LinksUpToDate>false</LinksUpToDate>
  <CharactersWithSpaces>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dc:creator>
  <cp:lastModifiedBy>Benesch, Katja</cp:lastModifiedBy>
  <cp:revision>3</cp:revision>
  <cp:lastPrinted>2016-03-03T21:31:00Z</cp:lastPrinted>
  <dcterms:created xsi:type="dcterms:W3CDTF">2017-03-20T07:59:00Z</dcterms:created>
  <dcterms:modified xsi:type="dcterms:W3CDTF">2017-03-20T08:05:00Z</dcterms:modified>
</cp:coreProperties>
</file>