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2B8" w:rsidRDefault="009D02B8" w:rsidP="009D02B8">
      <w:pPr>
        <w:rPr>
          <w:rFonts w:ascii="Arial" w:hAnsi="Arial" w:cs="Arial"/>
          <w:b/>
          <w:sz w:val="48"/>
          <w:szCs w:val="48"/>
        </w:rPr>
      </w:pPr>
      <w:r>
        <w:rPr>
          <w:rFonts w:ascii="Arial" w:hAnsi="Arial" w:cs="Arial"/>
          <w:b/>
          <w:noProof/>
          <w:sz w:val="48"/>
          <w:szCs w:val="48"/>
          <w:lang w:eastAsia="de-DE"/>
        </w:rPr>
        <w:drawing>
          <wp:inline distT="0" distB="0" distL="0" distR="0" wp14:anchorId="76641E99" wp14:editId="79F6D1FC">
            <wp:extent cx="755906" cy="960122"/>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TMANN_Logo1_PN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5906" cy="960122"/>
                    </a:xfrm>
                    <a:prstGeom prst="rect">
                      <a:avLst/>
                    </a:prstGeom>
                  </pic:spPr>
                </pic:pic>
              </a:graphicData>
            </a:graphic>
          </wp:inline>
        </w:drawing>
      </w:r>
    </w:p>
    <w:p w:rsidR="009D02B8" w:rsidRPr="004A3673" w:rsidRDefault="009D02B8" w:rsidP="009D02B8">
      <w:pPr>
        <w:rPr>
          <w:rFonts w:ascii="Arial" w:hAnsi="Arial" w:cs="Arial"/>
          <w:b/>
          <w:sz w:val="40"/>
          <w:szCs w:val="40"/>
        </w:rPr>
      </w:pPr>
    </w:p>
    <w:p w:rsidR="009B0C33" w:rsidRPr="0024694B" w:rsidRDefault="009B0C33" w:rsidP="009B0C33">
      <w:pPr>
        <w:jc w:val="right"/>
        <w:rPr>
          <w:rFonts w:ascii="Arial" w:hAnsi="Arial" w:cs="Arial"/>
          <w:b/>
          <w:sz w:val="20"/>
          <w:szCs w:val="20"/>
          <w:lang w:val="en-US"/>
        </w:rPr>
      </w:pPr>
      <w:r w:rsidRPr="0024694B">
        <w:rPr>
          <w:rFonts w:ascii="Arial" w:hAnsi="Arial" w:cs="Arial"/>
          <w:b/>
          <w:sz w:val="20"/>
          <w:szCs w:val="20"/>
          <w:lang w:val="en-US"/>
        </w:rPr>
        <w:t>Press</w:t>
      </w:r>
      <w:r>
        <w:rPr>
          <w:rFonts w:ascii="Arial" w:hAnsi="Arial" w:cs="Arial"/>
          <w:b/>
          <w:sz w:val="20"/>
          <w:szCs w:val="20"/>
          <w:lang w:val="en-US"/>
        </w:rPr>
        <w:t xml:space="preserve"> Release</w:t>
      </w:r>
      <w:r w:rsidRPr="0024694B">
        <w:rPr>
          <w:rFonts w:ascii="Arial" w:hAnsi="Arial" w:cs="Arial"/>
          <w:b/>
          <w:sz w:val="20"/>
          <w:szCs w:val="20"/>
          <w:lang w:val="en-US"/>
        </w:rPr>
        <w:t>, September 2017</w:t>
      </w:r>
    </w:p>
    <w:p w:rsidR="009D02B8" w:rsidRPr="004A3673" w:rsidRDefault="009D02B8" w:rsidP="009D02B8">
      <w:pPr>
        <w:rPr>
          <w:rFonts w:ascii="Arial" w:hAnsi="Arial" w:cs="Arial"/>
          <w:b/>
          <w:sz w:val="40"/>
          <w:szCs w:val="40"/>
        </w:rPr>
      </w:pPr>
    </w:p>
    <w:p w:rsidR="00D4377D" w:rsidRDefault="00D4377D" w:rsidP="00101EA9">
      <w:pPr>
        <w:rPr>
          <w:rFonts w:ascii="GutmannMeta-Medi" w:hAnsi="GutmannMeta-Medi" w:cs="GutmannMeta-Medi"/>
          <w:color w:val="FF0000"/>
          <w:sz w:val="40"/>
          <w:szCs w:val="40"/>
        </w:rPr>
      </w:pPr>
      <w:r w:rsidRPr="00D4377D">
        <w:rPr>
          <w:rFonts w:ascii="GutmannMeta-Medi" w:hAnsi="GutmannMeta-Medi" w:cs="GutmannMeta-Medi"/>
          <w:color w:val="FF0000"/>
          <w:sz w:val="40"/>
          <w:szCs w:val="40"/>
        </w:rPr>
        <w:t xml:space="preserve">GUTMANN </w:t>
      </w:r>
      <w:r w:rsidR="002A3912">
        <w:rPr>
          <w:rFonts w:ascii="GutmannMeta-Medi" w:hAnsi="GutmannMeta-Medi" w:cs="GutmannMeta-Medi"/>
          <w:color w:val="FF0000"/>
          <w:sz w:val="40"/>
          <w:szCs w:val="40"/>
        </w:rPr>
        <w:t>DELTA</w:t>
      </w:r>
    </w:p>
    <w:p w:rsidR="009B0C33" w:rsidRPr="0024694B" w:rsidRDefault="009B0C33" w:rsidP="009B0C33">
      <w:pPr>
        <w:spacing w:after="0" w:line="240" w:lineRule="auto"/>
        <w:rPr>
          <w:b/>
          <w:color w:val="000000" w:themeColor="text1"/>
          <w:lang w:val="en-US"/>
        </w:rPr>
      </w:pPr>
      <w:r w:rsidRPr="0024694B">
        <w:rPr>
          <w:b/>
          <w:color w:val="000000" w:themeColor="text1"/>
          <w:lang w:val="en-US"/>
        </w:rPr>
        <w:t>Water-tight window sill connection between window and window sill – solution based on a reliable process -</w:t>
      </w:r>
    </w:p>
    <w:p w:rsidR="009B0C33" w:rsidRPr="000940BD" w:rsidRDefault="009B0C33" w:rsidP="009B0C33">
      <w:pPr>
        <w:jc w:val="both"/>
        <w:rPr>
          <w:rFonts w:cs="GutmannMeta-Norm"/>
          <w:color w:val="000000" w:themeColor="text1"/>
          <w:lang w:val="en-US"/>
        </w:rPr>
      </w:pPr>
    </w:p>
    <w:p w:rsidR="009B0C33" w:rsidRPr="000940BD" w:rsidRDefault="009B0C33" w:rsidP="009B0C33">
      <w:pPr>
        <w:jc w:val="both"/>
        <w:rPr>
          <w:rFonts w:cs="GutmannMeta-Norm"/>
          <w:color w:val="000000" w:themeColor="text1"/>
          <w:lang w:val="en-US"/>
        </w:rPr>
      </w:pPr>
      <w:r w:rsidRPr="00875EE6">
        <w:rPr>
          <w:rFonts w:cs="GutmannMeta-Norm"/>
          <w:color w:val="000000" w:themeColor="text1"/>
          <w:lang w:val="en-US"/>
        </w:rPr>
        <w:t xml:space="preserve">In the fourth quarter of 2017, the GUTMANN AG window sill system will be expanded to include the GUTMANN DELTA drainage module. </w:t>
      </w:r>
      <w:r w:rsidRPr="000940BD">
        <w:rPr>
          <w:rFonts w:cs="GutmannMeta-Norm"/>
          <w:color w:val="000000" w:themeColor="text1"/>
          <w:lang w:val="en-US"/>
        </w:rPr>
        <w:t xml:space="preserve">This innovative product offers a </w:t>
      </w:r>
      <w:r w:rsidRPr="000940BD">
        <w:rPr>
          <w:rFonts w:cs="GutmannMeta-Norm"/>
          <w:color w:val="000000" w:themeColor="text1"/>
          <w:u w:val="single"/>
          <w:lang w:val="en-US"/>
        </w:rPr>
        <w:t>simple and reliable</w:t>
      </w:r>
      <w:r w:rsidRPr="000940BD">
        <w:rPr>
          <w:rFonts w:cs="GutmannMeta-Norm"/>
          <w:color w:val="000000" w:themeColor="text1"/>
          <w:lang w:val="en-US"/>
        </w:rPr>
        <w:t xml:space="preserve"> solution to the problems that often occur in corner areas due to non-water-tight structure connection seams. The new system promises to make water penetration due to unsealed work holes, improperly installed plastering strips or rolling shutter rails, and other unsealed connection joints a thing of the past.</w:t>
      </w:r>
    </w:p>
    <w:p w:rsidR="003A644D" w:rsidRPr="009B0C33" w:rsidRDefault="003A644D" w:rsidP="002A3912">
      <w:pPr>
        <w:jc w:val="both"/>
        <w:rPr>
          <w:rFonts w:cs="GutmannMeta-Norm"/>
          <w:color w:val="000000" w:themeColor="text1"/>
          <w:lang w:val="en-US"/>
        </w:rPr>
      </w:pPr>
    </w:p>
    <w:p w:rsidR="0028222F" w:rsidRDefault="00A0712E" w:rsidP="002A3912">
      <w:pPr>
        <w:jc w:val="both"/>
        <w:rPr>
          <w:rFonts w:cs="GutmannMeta-Norm"/>
          <w:color w:val="000000" w:themeColor="text1"/>
        </w:rPr>
      </w:pPr>
      <w:r>
        <w:rPr>
          <w:rFonts w:cs="GutmannMeta-Norm"/>
          <w:noProof/>
          <w:color w:val="000000" w:themeColor="text1"/>
          <w:lang w:eastAsia="de-DE"/>
        </w:rPr>
        <w:drawing>
          <wp:inline distT="0" distB="0" distL="0" distR="0">
            <wp:extent cx="2818803" cy="2818803"/>
            <wp:effectExtent l="0" t="0" r="635"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lta Entwaesserungsmodul_Still_klein_sw2.tif"/>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18803" cy="2818803"/>
                    </a:xfrm>
                    <a:prstGeom prst="rect">
                      <a:avLst/>
                    </a:prstGeom>
                    <a:ln>
                      <a:noFill/>
                    </a:ln>
                    <a:extLst>
                      <a:ext uri="{53640926-AAD7-44D8-BBD7-CCE9431645EC}">
                        <a14:shadowObscured xmlns:a14="http://schemas.microsoft.com/office/drawing/2010/main"/>
                      </a:ext>
                    </a:extLst>
                  </pic:spPr>
                </pic:pic>
              </a:graphicData>
            </a:graphic>
          </wp:inline>
        </w:drawing>
      </w:r>
    </w:p>
    <w:p w:rsidR="0028222F" w:rsidRPr="00E72348" w:rsidRDefault="0028222F" w:rsidP="002A3912">
      <w:pPr>
        <w:jc w:val="both"/>
        <w:rPr>
          <w:rFonts w:cs="GutmannMeta-Norm"/>
          <w:color w:val="000000" w:themeColor="text1"/>
        </w:rPr>
      </w:pPr>
    </w:p>
    <w:p w:rsidR="009B0C33" w:rsidRPr="00875EE6" w:rsidRDefault="009B0C33" w:rsidP="009B0C33">
      <w:pPr>
        <w:jc w:val="both"/>
        <w:rPr>
          <w:lang w:val="en-US"/>
        </w:rPr>
      </w:pPr>
      <w:r w:rsidRPr="00875EE6">
        <w:rPr>
          <w:lang w:val="en-US"/>
        </w:rPr>
        <w:t>No advance planning is required to install the component, which matches the GUTMANN GS 40/GS 25 window sill system. It is simply attached to the facing frame on the outside of the window. Installed below the window, it reliably channels any moisture that penetrates the construction to the outside, thus preventing costly structural damage.</w:t>
      </w:r>
    </w:p>
    <w:p w:rsidR="00906986" w:rsidRPr="009B0C33" w:rsidRDefault="00906986" w:rsidP="002A3912">
      <w:pPr>
        <w:jc w:val="both"/>
        <w:rPr>
          <w:rFonts w:cs="GutmannMeta-Norm"/>
          <w:b/>
          <w:color w:val="000000" w:themeColor="text1"/>
          <w:lang w:val="en-US"/>
        </w:rPr>
      </w:pPr>
    </w:p>
    <w:p w:rsidR="009B0C33" w:rsidRPr="009B0C33" w:rsidRDefault="009B0C33" w:rsidP="009B0C33">
      <w:pPr>
        <w:jc w:val="both"/>
        <w:rPr>
          <w:rFonts w:cs="GutmannMeta-Norm"/>
          <w:b/>
          <w:color w:val="000000" w:themeColor="text1"/>
          <w:lang w:val="en-US"/>
        </w:rPr>
      </w:pPr>
      <w:r w:rsidRPr="009B0C33">
        <w:rPr>
          <w:rFonts w:cs="GutmannMeta-Norm"/>
          <w:b/>
          <w:color w:val="000000" w:themeColor="text1"/>
          <w:lang w:val="en-US"/>
        </w:rPr>
        <w:t>The advantages at a glance</w:t>
      </w:r>
    </w:p>
    <w:p w:rsidR="009B0C33" w:rsidRPr="000940BD" w:rsidRDefault="009B0C33" w:rsidP="009B0C33">
      <w:pPr>
        <w:pStyle w:val="aufzhlungvorteile"/>
        <w:numPr>
          <w:ilvl w:val="0"/>
          <w:numId w:val="2"/>
        </w:numPr>
        <w:tabs>
          <w:tab w:val="clear" w:pos="510"/>
          <w:tab w:val="left" w:pos="567"/>
        </w:tabs>
        <w:ind w:left="567" w:hanging="207"/>
        <w:rPr>
          <w:rFonts w:asciiTheme="minorHAnsi" w:hAnsiTheme="minorHAnsi"/>
          <w:color w:val="000000" w:themeColor="text1"/>
          <w:spacing w:val="9"/>
          <w:sz w:val="22"/>
          <w:szCs w:val="22"/>
          <w:lang w:val="en-US"/>
        </w:rPr>
      </w:pPr>
      <w:r w:rsidRPr="000940BD">
        <w:rPr>
          <w:rFonts w:asciiTheme="minorHAnsi" w:hAnsiTheme="minorHAnsi"/>
          <w:color w:val="000000" w:themeColor="text1"/>
          <w:spacing w:val="9"/>
          <w:sz w:val="22"/>
          <w:szCs w:val="22"/>
          <w:lang w:val="en-US"/>
        </w:rPr>
        <w:t>One-piece module with range of projections for</w:t>
      </w:r>
      <w:r w:rsidRPr="000940BD">
        <w:rPr>
          <w:rFonts w:asciiTheme="minorHAnsi" w:hAnsiTheme="minorHAnsi"/>
          <w:color w:val="000000" w:themeColor="text1"/>
          <w:spacing w:val="9"/>
          <w:sz w:val="22"/>
          <w:szCs w:val="22"/>
          <w:lang w:val="en-US"/>
        </w:rPr>
        <w:br/>
        <w:t>GUTMANN system window sills</w:t>
      </w:r>
    </w:p>
    <w:p w:rsidR="009B0C33" w:rsidRPr="000940BD" w:rsidRDefault="009B0C33" w:rsidP="009B0C33">
      <w:pPr>
        <w:pStyle w:val="aufzhlungvorteile"/>
        <w:numPr>
          <w:ilvl w:val="0"/>
          <w:numId w:val="2"/>
        </w:numPr>
        <w:tabs>
          <w:tab w:val="clear" w:pos="510"/>
          <w:tab w:val="left" w:pos="567"/>
        </w:tabs>
        <w:ind w:left="567" w:hanging="207"/>
        <w:rPr>
          <w:rFonts w:asciiTheme="minorHAnsi" w:hAnsiTheme="minorHAnsi"/>
          <w:color w:val="000000" w:themeColor="text1"/>
          <w:spacing w:val="9"/>
          <w:sz w:val="22"/>
          <w:szCs w:val="22"/>
          <w:lang w:val="en-US"/>
        </w:rPr>
      </w:pPr>
      <w:r w:rsidRPr="000940BD">
        <w:rPr>
          <w:rFonts w:asciiTheme="minorHAnsi" w:hAnsiTheme="minorHAnsi"/>
          <w:color w:val="000000" w:themeColor="text1"/>
          <w:spacing w:val="9"/>
          <w:sz w:val="22"/>
          <w:szCs w:val="22"/>
          <w:lang w:val="en-US"/>
        </w:rPr>
        <w:t>Controlled drainage to the outside using water-</w:t>
      </w:r>
      <w:proofErr w:type="spellStart"/>
      <w:r w:rsidRPr="000940BD">
        <w:rPr>
          <w:rFonts w:asciiTheme="minorHAnsi" w:hAnsiTheme="minorHAnsi"/>
          <w:color w:val="000000" w:themeColor="text1"/>
          <w:spacing w:val="9"/>
          <w:sz w:val="22"/>
          <w:szCs w:val="22"/>
          <w:lang w:val="en-US"/>
        </w:rPr>
        <w:t>channelling</w:t>
      </w:r>
      <w:proofErr w:type="spellEnd"/>
      <w:r w:rsidRPr="000940BD">
        <w:rPr>
          <w:rFonts w:asciiTheme="minorHAnsi" w:hAnsiTheme="minorHAnsi"/>
          <w:color w:val="000000" w:themeColor="text1"/>
          <w:spacing w:val="9"/>
          <w:sz w:val="22"/>
          <w:szCs w:val="22"/>
          <w:lang w:val="en-US"/>
        </w:rPr>
        <w:t xml:space="preserve"> ribs</w:t>
      </w:r>
    </w:p>
    <w:p w:rsidR="009B0C33" w:rsidRPr="000940BD" w:rsidRDefault="009B0C33" w:rsidP="009B0C33">
      <w:pPr>
        <w:pStyle w:val="aufzhlungvorteile"/>
        <w:numPr>
          <w:ilvl w:val="0"/>
          <w:numId w:val="2"/>
        </w:numPr>
        <w:tabs>
          <w:tab w:val="clear" w:pos="510"/>
          <w:tab w:val="left" w:pos="567"/>
        </w:tabs>
        <w:ind w:left="567" w:hanging="207"/>
        <w:rPr>
          <w:rFonts w:asciiTheme="minorHAnsi" w:hAnsiTheme="minorHAnsi"/>
          <w:color w:val="000000" w:themeColor="text1"/>
          <w:spacing w:val="9"/>
          <w:sz w:val="22"/>
          <w:szCs w:val="22"/>
          <w:lang w:val="en-US"/>
        </w:rPr>
      </w:pPr>
      <w:r w:rsidRPr="000940BD">
        <w:rPr>
          <w:rFonts w:asciiTheme="minorHAnsi" w:hAnsiTheme="minorHAnsi"/>
          <w:color w:val="000000" w:themeColor="text1"/>
          <w:spacing w:val="9"/>
          <w:sz w:val="22"/>
          <w:szCs w:val="22"/>
          <w:lang w:val="en-US"/>
        </w:rPr>
        <w:t>Resistant to driving rain (tested)</w:t>
      </w:r>
    </w:p>
    <w:p w:rsidR="009B0C33" w:rsidRPr="00920F24" w:rsidRDefault="009B0C33" w:rsidP="009B0C33">
      <w:pPr>
        <w:pStyle w:val="aufzhlungvorteile"/>
        <w:numPr>
          <w:ilvl w:val="0"/>
          <w:numId w:val="2"/>
        </w:numPr>
        <w:tabs>
          <w:tab w:val="clear" w:pos="510"/>
          <w:tab w:val="left" w:pos="567"/>
        </w:tabs>
        <w:ind w:left="567" w:hanging="207"/>
        <w:rPr>
          <w:rFonts w:asciiTheme="minorHAnsi" w:hAnsiTheme="minorHAnsi"/>
          <w:color w:val="000000" w:themeColor="text1"/>
          <w:spacing w:val="9"/>
          <w:sz w:val="22"/>
          <w:szCs w:val="22"/>
        </w:rPr>
      </w:pPr>
      <w:proofErr w:type="spellStart"/>
      <w:r w:rsidRPr="00920F24">
        <w:rPr>
          <w:rFonts w:asciiTheme="minorHAnsi" w:hAnsiTheme="minorHAnsi"/>
          <w:color w:val="000000" w:themeColor="text1"/>
          <w:spacing w:val="9"/>
          <w:sz w:val="22"/>
          <w:szCs w:val="22"/>
        </w:rPr>
        <w:t>No</w:t>
      </w:r>
      <w:proofErr w:type="spellEnd"/>
      <w:r w:rsidRPr="00920F24">
        <w:rPr>
          <w:rFonts w:asciiTheme="minorHAnsi" w:hAnsiTheme="minorHAnsi"/>
          <w:color w:val="000000" w:themeColor="text1"/>
          <w:spacing w:val="9"/>
          <w:sz w:val="22"/>
          <w:szCs w:val="22"/>
        </w:rPr>
        <w:t xml:space="preserve"> </w:t>
      </w:r>
      <w:proofErr w:type="spellStart"/>
      <w:r>
        <w:rPr>
          <w:rFonts w:asciiTheme="minorHAnsi" w:hAnsiTheme="minorHAnsi"/>
          <w:color w:val="000000" w:themeColor="text1"/>
          <w:spacing w:val="9"/>
          <w:sz w:val="22"/>
          <w:szCs w:val="22"/>
        </w:rPr>
        <w:t>planning</w:t>
      </w:r>
      <w:proofErr w:type="spellEnd"/>
      <w:r>
        <w:rPr>
          <w:rFonts w:asciiTheme="minorHAnsi" w:hAnsiTheme="minorHAnsi"/>
          <w:color w:val="000000" w:themeColor="text1"/>
          <w:spacing w:val="9"/>
          <w:sz w:val="22"/>
          <w:szCs w:val="22"/>
        </w:rPr>
        <w:t xml:space="preserve"> </w:t>
      </w:r>
      <w:proofErr w:type="spellStart"/>
      <w:r>
        <w:rPr>
          <w:rFonts w:asciiTheme="minorHAnsi" w:hAnsiTheme="minorHAnsi"/>
          <w:color w:val="000000" w:themeColor="text1"/>
          <w:spacing w:val="9"/>
          <w:sz w:val="22"/>
          <w:szCs w:val="22"/>
        </w:rPr>
        <w:t>detail</w:t>
      </w:r>
      <w:proofErr w:type="spellEnd"/>
    </w:p>
    <w:p w:rsidR="009B0C33" w:rsidRPr="00472C22" w:rsidRDefault="009B0C33" w:rsidP="009B0C33">
      <w:pPr>
        <w:pStyle w:val="aufzhlungvorteile"/>
        <w:numPr>
          <w:ilvl w:val="0"/>
          <w:numId w:val="2"/>
        </w:numPr>
        <w:tabs>
          <w:tab w:val="clear" w:pos="510"/>
          <w:tab w:val="left" w:pos="567"/>
        </w:tabs>
        <w:ind w:left="567" w:hanging="207"/>
        <w:rPr>
          <w:rFonts w:asciiTheme="minorHAnsi" w:hAnsiTheme="minorHAnsi"/>
          <w:color w:val="000000" w:themeColor="text1"/>
          <w:spacing w:val="9"/>
          <w:sz w:val="22"/>
          <w:szCs w:val="22"/>
        </w:rPr>
      </w:pPr>
      <w:r w:rsidRPr="00472C22">
        <w:rPr>
          <w:rFonts w:asciiTheme="minorHAnsi" w:hAnsiTheme="minorHAnsi"/>
          <w:color w:val="000000" w:themeColor="text1"/>
          <w:spacing w:val="9"/>
          <w:sz w:val="22"/>
          <w:szCs w:val="22"/>
        </w:rPr>
        <w:t xml:space="preserve">Simple </w:t>
      </w:r>
      <w:proofErr w:type="spellStart"/>
      <w:r w:rsidRPr="00472C22">
        <w:rPr>
          <w:rFonts w:asciiTheme="minorHAnsi" w:hAnsiTheme="minorHAnsi"/>
          <w:color w:val="000000" w:themeColor="text1"/>
          <w:spacing w:val="9"/>
          <w:sz w:val="22"/>
          <w:szCs w:val="22"/>
        </w:rPr>
        <w:t>installation</w:t>
      </w:r>
      <w:proofErr w:type="spellEnd"/>
    </w:p>
    <w:p w:rsidR="00906986" w:rsidRPr="0030540A" w:rsidRDefault="00906986" w:rsidP="00906986">
      <w:pPr>
        <w:pStyle w:val="aufzhlungvorteile"/>
        <w:spacing w:after="240"/>
        <w:ind w:left="567" w:firstLine="0"/>
        <w:rPr>
          <w:rFonts w:asciiTheme="minorHAnsi" w:hAnsiTheme="minorHAnsi"/>
          <w:color w:val="000000" w:themeColor="text1"/>
          <w:spacing w:val="9"/>
          <w:sz w:val="22"/>
          <w:szCs w:val="22"/>
        </w:rPr>
      </w:pPr>
    </w:p>
    <w:p w:rsidR="0030540A" w:rsidRDefault="0030540A" w:rsidP="0030540A">
      <w:pPr>
        <w:pStyle w:val="aufzhlungvorteile"/>
        <w:rPr>
          <w:rFonts w:asciiTheme="minorHAnsi" w:hAnsiTheme="minorHAnsi"/>
          <w:color w:val="000000" w:themeColor="text1"/>
          <w:sz w:val="22"/>
          <w:szCs w:val="22"/>
        </w:rPr>
      </w:pPr>
      <w:r>
        <w:rPr>
          <w:noProof/>
          <w:color w:val="000000" w:themeColor="text1"/>
          <w:lang w:eastAsia="de-DE"/>
        </w:rPr>
        <w:drawing>
          <wp:anchor distT="0" distB="0" distL="114300" distR="114300" simplePos="0" relativeHeight="251658240" behindDoc="1" locked="0" layoutInCell="1" allowOverlap="1" wp14:anchorId="2938A6F6" wp14:editId="7D69E356">
            <wp:simplePos x="0" y="0"/>
            <wp:positionH relativeFrom="column">
              <wp:posOffset>194945</wp:posOffset>
            </wp:positionH>
            <wp:positionV relativeFrom="paragraph">
              <wp:posOffset>65405</wp:posOffset>
            </wp:positionV>
            <wp:extent cx="3362325" cy="2818765"/>
            <wp:effectExtent l="0" t="0" r="9525" b="635"/>
            <wp:wrapThrough wrapText="bothSides">
              <wp:wrapPolygon edited="0">
                <wp:start x="0" y="0"/>
                <wp:lineTo x="0" y="21459"/>
                <wp:lineTo x="21539" y="21459"/>
                <wp:lineTo x="21539" y="0"/>
                <wp:lineTo x="0" y="0"/>
              </wp:wrapPolygon>
            </wp:wrapThrough>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lta Entwaesserungsmodul_Still_klein_sw2.tif"/>
                    <pic:cNvPicPr/>
                  </pic:nvPicPr>
                  <pic:blipFill rotWithShape="1">
                    <a:blip r:embed="rId10" cstate="print">
                      <a:extLst>
                        <a:ext uri="{28A0092B-C50C-407E-A947-70E740481C1C}">
                          <a14:useLocalDpi xmlns:a14="http://schemas.microsoft.com/office/drawing/2010/main" val="0"/>
                        </a:ext>
                      </a:extLst>
                    </a:blip>
                    <a:srcRect l="6532" r="13964"/>
                    <a:stretch/>
                  </pic:blipFill>
                  <pic:spPr bwMode="auto">
                    <a:xfrm>
                      <a:off x="0" y="0"/>
                      <a:ext cx="3362325" cy="28187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0540A" w:rsidRDefault="0030540A" w:rsidP="0030540A">
      <w:pPr>
        <w:pStyle w:val="aufzhlungvorteile"/>
        <w:rPr>
          <w:rFonts w:asciiTheme="minorHAnsi" w:hAnsiTheme="minorHAnsi"/>
          <w:color w:val="000000" w:themeColor="text1"/>
          <w:sz w:val="22"/>
          <w:szCs w:val="22"/>
        </w:rPr>
      </w:pPr>
    </w:p>
    <w:p w:rsidR="0030540A" w:rsidRDefault="0030540A" w:rsidP="0030540A">
      <w:pPr>
        <w:pStyle w:val="aufzhlungvorteile"/>
        <w:rPr>
          <w:rFonts w:asciiTheme="minorHAnsi" w:hAnsiTheme="minorHAnsi"/>
          <w:color w:val="000000" w:themeColor="text1"/>
          <w:sz w:val="22"/>
          <w:szCs w:val="22"/>
        </w:rPr>
      </w:pPr>
    </w:p>
    <w:p w:rsidR="0030540A" w:rsidRDefault="0030540A" w:rsidP="0030540A">
      <w:pPr>
        <w:pStyle w:val="aufzhlungvorteile"/>
        <w:rPr>
          <w:rFonts w:asciiTheme="minorHAnsi" w:hAnsiTheme="minorHAnsi"/>
          <w:color w:val="000000" w:themeColor="text1"/>
          <w:sz w:val="22"/>
          <w:szCs w:val="22"/>
        </w:rPr>
      </w:pPr>
    </w:p>
    <w:p w:rsidR="0030540A" w:rsidRDefault="0030540A" w:rsidP="0030540A">
      <w:pPr>
        <w:pStyle w:val="aufzhlungvorteile"/>
        <w:rPr>
          <w:rFonts w:asciiTheme="minorHAnsi" w:hAnsiTheme="minorHAnsi"/>
          <w:color w:val="000000" w:themeColor="text1"/>
          <w:sz w:val="22"/>
          <w:szCs w:val="22"/>
        </w:rPr>
      </w:pPr>
    </w:p>
    <w:p w:rsidR="0030540A" w:rsidRDefault="0030540A" w:rsidP="0030540A">
      <w:pPr>
        <w:pStyle w:val="aufzhlungvorteile"/>
        <w:rPr>
          <w:rFonts w:asciiTheme="minorHAnsi" w:hAnsiTheme="minorHAnsi"/>
          <w:color w:val="000000" w:themeColor="text1"/>
          <w:sz w:val="22"/>
          <w:szCs w:val="22"/>
        </w:rPr>
      </w:pPr>
    </w:p>
    <w:p w:rsidR="0030540A" w:rsidRDefault="0030540A" w:rsidP="0030540A">
      <w:pPr>
        <w:pStyle w:val="aufzhlungvorteile"/>
        <w:rPr>
          <w:rFonts w:asciiTheme="minorHAnsi" w:hAnsiTheme="minorHAnsi"/>
          <w:color w:val="000000" w:themeColor="text1"/>
          <w:sz w:val="22"/>
          <w:szCs w:val="22"/>
        </w:rPr>
      </w:pPr>
    </w:p>
    <w:p w:rsidR="0030540A" w:rsidRDefault="0030540A" w:rsidP="0030540A">
      <w:pPr>
        <w:pStyle w:val="aufzhlungvorteile"/>
        <w:rPr>
          <w:rFonts w:asciiTheme="minorHAnsi" w:hAnsiTheme="minorHAnsi"/>
          <w:color w:val="000000" w:themeColor="text1"/>
          <w:sz w:val="22"/>
          <w:szCs w:val="22"/>
        </w:rPr>
      </w:pPr>
    </w:p>
    <w:p w:rsidR="0030540A" w:rsidRPr="00E72348" w:rsidRDefault="0030540A" w:rsidP="0030540A">
      <w:pPr>
        <w:pStyle w:val="aufzhlungvorteile"/>
        <w:rPr>
          <w:rFonts w:asciiTheme="minorHAnsi" w:hAnsiTheme="minorHAnsi"/>
          <w:color w:val="000000" w:themeColor="text1"/>
          <w:spacing w:val="9"/>
          <w:sz w:val="22"/>
          <w:szCs w:val="22"/>
        </w:rPr>
      </w:pPr>
    </w:p>
    <w:p w:rsidR="009005A3" w:rsidRDefault="009005A3" w:rsidP="00C66FD3">
      <w:pPr>
        <w:widowControl w:val="0"/>
        <w:autoSpaceDE w:val="0"/>
        <w:autoSpaceDN w:val="0"/>
        <w:adjustRightInd w:val="0"/>
        <w:spacing w:before="240"/>
        <w:jc w:val="both"/>
        <w:rPr>
          <w:rFonts w:cs="Calibri"/>
          <w:bCs/>
          <w:color w:val="FF0000"/>
        </w:rPr>
      </w:pPr>
    </w:p>
    <w:p w:rsidR="009B0C33" w:rsidRDefault="009B0C33" w:rsidP="000273B5">
      <w:pPr>
        <w:widowControl w:val="0"/>
        <w:autoSpaceDE w:val="0"/>
        <w:autoSpaceDN w:val="0"/>
        <w:adjustRightInd w:val="0"/>
        <w:spacing w:before="240"/>
        <w:jc w:val="both"/>
        <w:rPr>
          <w:rFonts w:cs="Calibri"/>
          <w:bCs/>
          <w:color w:val="000000" w:themeColor="text1"/>
          <w:lang w:val="en-US"/>
        </w:rPr>
      </w:pPr>
      <w:r w:rsidRPr="009B0C33">
        <w:rPr>
          <w:rFonts w:cs="Calibri"/>
          <w:bCs/>
          <w:color w:val="000000" w:themeColor="text1"/>
          <w:lang w:val="en-US"/>
        </w:rPr>
        <w:t>The link below will take you to an animation that will show you how this innovative product works and provide you with information on the specific advantages of the GUTMANN DELTA drainage module.</w:t>
      </w:r>
    </w:p>
    <w:p w:rsidR="00906986" w:rsidRPr="009B0C33" w:rsidRDefault="00906986" w:rsidP="000273B5">
      <w:pPr>
        <w:widowControl w:val="0"/>
        <w:autoSpaceDE w:val="0"/>
        <w:autoSpaceDN w:val="0"/>
        <w:adjustRightInd w:val="0"/>
        <w:spacing w:before="240"/>
        <w:jc w:val="both"/>
        <w:rPr>
          <w:b/>
          <w:bCs/>
          <w:color w:val="FF0000"/>
          <w:lang w:val="en-US"/>
        </w:rPr>
      </w:pPr>
      <w:proofErr w:type="gramStart"/>
      <w:r w:rsidRPr="009B0C33">
        <w:rPr>
          <w:b/>
          <w:bCs/>
          <w:color w:val="FF0000"/>
          <w:lang w:val="en-US"/>
        </w:rPr>
        <w:t>gutmann.de/delta</w:t>
      </w:r>
      <w:proofErr w:type="gramEnd"/>
    </w:p>
    <w:p w:rsidR="00906986" w:rsidRPr="009B0C33" w:rsidRDefault="00906986" w:rsidP="000273B5">
      <w:pPr>
        <w:widowControl w:val="0"/>
        <w:autoSpaceDE w:val="0"/>
        <w:autoSpaceDN w:val="0"/>
        <w:adjustRightInd w:val="0"/>
        <w:spacing w:before="240"/>
        <w:jc w:val="both"/>
        <w:rPr>
          <w:b/>
          <w:bCs/>
          <w:color w:val="FF0000"/>
          <w:lang w:val="en-US"/>
        </w:rPr>
      </w:pPr>
    </w:p>
    <w:p w:rsidR="009B0C33" w:rsidRPr="000940BD" w:rsidRDefault="009B0C33" w:rsidP="009B0C33">
      <w:pPr>
        <w:widowControl w:val="0"/>
        <w:autoSpaceDE w:val="0"/>
        <w:autoSpaceDN w:val="0"/>
        <w:adjustRightInd w:val="0"/>
        <w:spacing w:before="240"/>
        <w:jc w:val="both"/>
        <w:rPr>
          <w:rFonts w:ascii="Calibri" w:hAnsi="Calibri" w:cs="Calibri"/>
          <w:b/>
          <w:bCs/>
          <w:lang w:val="en-US"/>
        </w:rPr>
      </w:pPr>
      <w:r w:rsidRPr="000940BD">
        <w:rPr>
          <w:rFonts w:ascii="Calibri" w:hAnsi="Calibri" w:cs="Calibri"/>
          <w:b/>
          <w:bCs/>
          <w:lang w:val="en-US"/>
        </w:rPr>
        <w:t xml:space="preserve">GUTMANN AG products transcend borders, both technically and architecturally. They provide creative space for solutions that enable fabricators and architects to pursue new ideas and set new standards. </w:t>
      </w:r>
    </w:p>
    <w:p w:rsidR="000273B5" w:rsidRPr="009B0C33" w:rsidRDefault="009B0C33" w:rsidP="009B0C33">
      <w:pPr>
        <w:widowControl w:val="0"/>
        <w:autoSpaceDE w:val="0"/>
        <w:autoSpaceDN w:val="0"/>
        <w:adjustRightInd w:val="0"/>
        <w:spacing w:before="240"/>
        <w:jc w:val="both"/>
        <w:rPr>
          <w:rFonts w:ascii="Calibri" w:hAnsi="Calibri" w:cs="Calibri"/>
          <w:b/>
          <w:bCs/>
          <w:lang w:val="en-US"/>
        </w:rPr>
      </w:pPr>
      <w:r w:rsidRPr="000940BD">
        <w:rPr>
          <w:rFonts w:ascii="Calibri" w:hAnsi="Calibri" w:cs="Calibri"/>
          <w:b/>
          <w:bCs/>
          <w:lang w:val="en-US"/>
        </w:rPr>
        <w:t xml:space="preserve">With the GUTMANN brand, one of the leading suppliers in the field of building systems, you can benefit from 80 years of experience in windows, doors and façades. Precision, intelligent technical details and a high standard of functional and quality design are guaranteed. </w:t>
      </w:r>
      <w:r w:rsidRPr="00920F24">
        <w:rPr>
          <w:rFonts w:ascii="Calibri" w:hAnsi="Calibri" w:cs="Calibri"/>
          <w:b/>
          <w:bCs/>
          <w:lang w:val="en-US"/>
        </w:rPr>
        <w:t>Naturally, safety aspects are another important focus – from planning to installation, thanks to tested and certified systems.</w:t>
      </w:r>
      <w:bookmarkStart w:id="0" w:name="_GoBack"/>
      <w:bookmarkEnd w:id="0"/>
    </w:p>
    <w:sectPr w:rsidR="000273B5" w:rsidRPr="009B0C33" w:rsidSect="009005A3">
      <w:pgSz w:w="11906" w:h="16838"/>
      <w:pgMar w:top="1134" w:right="1418"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A0D" w:rsidRDefault="00C63A0D" w:rsidP="00775E5E">
      <w:pPr>
        <w:spacing w:after="0" w:line="240" w:lineRule="auto"/>
      </w:pPr>
      <w:r>
        <w:separator/>
      </w:r>
    </w:p>
  </w:endnote>
  <w:endnote w:type="continuationSeparator" w:id="0">
    <w:p w:rsidR="00C63A0D" w:rsidRDefault="00C63A0D" w:rsidP="00775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GutmannMeta-Norm">
    <w:altName w:val="Segoe Script"/>
    <w:panose1 w:val="020B0504030101020102"/>
    <w:charset w:val="00"/>
    <w:family w:val="swiss"/>
    <w:notTrueType/>
    <w:pitch w:val="variable"/>
    <w:sig w:usb0="A00002B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GutmannMeta-Medi">
    <w:altName w:val="Arial"/>
    <w:panose1 w:val="020B0604030101020102"/>
    <w:charset w:val="00"/>
    <w:family w:val="swiss"/>
    <w:notTrueType/>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A0D" w:rsidRDefault="00C63A0D" w:rsidP="00775E5E">
      <w:pPr>
        <w:spacing w:after="0" w:line="240" w:lineRule="auto"/>
      </w:pPr>
      <w:r>
        <w:separator/>
      </w:r>
    </w:p>
  </w:footnote>
  <w:footnote w:type="continuationSeparator" w:id="0">
    <w:p w:rsidR="00C63A0D" w:rsidRDefault="00C63A0D" w:rsidP="00775E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8107DA"/>
    <w:multiLevelType w:val="hybridMultilevel"/>
    <w:tmpl w:val="B79EB2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B25119F"/>
    <w:multiLevelType w:val="hybridMultilevel"/>
    <w:tmpl w:val="756E8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5EA4935"/>
    <w:multiLevelType w:val="hybridMultilevel"/>
    <w:tmpl w:val="5672C87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7B1"/>
    <w:rsid w:val="000042CB"/>
    <w:rsid w:val="00010947"/>
    <w:rsid w:val="000273B5"/>
    <w:rsid w:val="00027DDD"/>
    <w:rsid w:val="000371D3"/>
    <w:rsid w:val="00053351"/>
    <w:rsid w:val="0009328C"/>
    <w:rsid w:val="00096240"/>
    <w:rsid w:val="000B0EED"/>
    <w:rsid w:val="00101EA9"/>
    <w:rsid w:val="00121BA4"/>
    <w:rsid w:val="0016202A"/>
    <w:rsid w:val="001B1DC7"/>
    <w:rsid w:val="001B2C34"/>
    <w:rsid w:val="001C361D"/>
    <w:rsid w:val="0021776B"/>
    <w:rsid w:val="00264E10"/>
    <w:rsid w:val="00280E98"/>
    <w:rsid w:val="0028222F"/>
    <w:rsid w:val="0029326C"/>
    <w:rsid w:val="002A24EA"/>
    <w:rsid w:val="002A3912"/>
    <w:rsid w:val="002A6DD0"/>
    <w:rsid w:val="002E69AC"/>
    <w:rsid w:val="0030540A"/>
    <w:rsid w:val="0033298D"/>
    <w:rsid w:val="0034708C"/>
    <w:rsid w:val="003A644D"/>
    <w:rsid w:val="003D0C18"/>
    <w:rsid w:val="003D3723"/>
    <w:rsid w:val="00423AC0"/>
    <w:rsid w:val="00443127"/>
    <w:rsid w:val="004A3673"/>
    <w:rsid w:val="004F6026"/>
    <w:rsid w:val="004F7F58"/>
    <w:rsid w:val="00570E0A"/>
    <w:rsid w:val="00577A8E"/>
    <w:rsid w:val="006035D9"/>
    <w:rsid w:val="00603ED8"/>
    <w:rsid w:val="0065023F"/>
    <w:rsid w:val="006617B1"/>
    <w:rsid w:val="006C1E3D"/>
    <w:rsid w:val="00775E5E"/>
    <w:rsid w:val="00780EE6"/>
    <w:rsid w:val="00787C72"/>
    <w:rsid w:val="00876E4A"/>
    <w:rsid w:val="00893CB8"/>
    <w:rsid w:val="008C3AD9"/>
    <w:rsid w:val="009005A3"/>
    <w:rsid w:val="00906986"/>
    <w:rsid w:val="009A348D"/>
    <w:rsid w:val="009B0C33"/>
    <w:rsid w:val="009B5DAB"/>
    <w:rsid w:val="009B6560"/>
    <w:rsid w:val="009C156E"/>
    <w:rsid w:val="009D02B8"/>
    <w:rsid w:val="00A0712E"/>
    <w:rsid w:val="00A255BA"/>
    <w:rsid w:val="00A37FA4"/>
    <w:rsid w:val="00A67F2C"/>
    <w:rsid w:val="00A7462D"/>
    <w:rsid w:val="00AE243C"/>
    <w:rsid w:val="00B16589"/>
    <w:rsid w:val="00B6382A"/>
    <w:rsid w:val="00BB3FCF"/>
    <w:rsid w:val="00BC1F54"/>
    <w:rsid w:val="00BE6940"/>
    <w:rsid w:val="00C63A0D"/>
    <w:rsid w:val="00C66FD3"/>
    <w:rsid w:val="00C84A80"/>
    <w:rsid w:val="00C86F2C"/>
    <w:rsid w:val="00CA68CA"/>
    <w:rsid w:val="00CC4552"/>
    <w:rsid w:val="00CF6B7E"/>
    <w:rsid w:val="00D21F1B"/>
    <w:rsid w:val="00D4377D"/>
    <w:rsid w:val="00DD01CA"/>
    <w:rsid w:val="00E01918"/>
    <w:rsid w:val="00E04707"/>
    <w:rsid w:val="00E079BD"/>
    <w:rsid w:val="00E13643"/>
    <w:rsid w:val="00E60411"/>
    <w:rsid w:val="00E625BC"/>
    <w:rsid w:val="00E70AF7"/>
    <w:rsid w:val="00E72348"/>
    <w:rsid w:val="00EC4F96"/>
    <w:rsid w:val="00F045AE"/>
    <w:rsid w:val="00F24744"/>
    <w:rsid w:val="00F9733B"/>
    <w:rsid w:val="00FC68A7"/>
    <w:rsid w:val="00FE42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D02B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D02B8"/>
    <w:rPr>
      <w:rFonts w:ascii="Tahoma" w:hAnsi="Tahoma" w:cs="Tahoma"/>
      <w:sz w:val="16"/>
      <w:szCs w:val="16"/>
    </w:rPr>
  </w:style>
  <w:style w:type="paragraph" w:styleId="Listenabsatz">
    <w:name w:val="List Paragraph"/>
    <w:basedOn w:val="Standard"/>
    <w:uiPriority w:val="34"/>
    <w:qFormat/>
    <w:rsid w:val="00BE6940"/>
    <w:pPr>
      <w:ind w:left="720"/>
      <w:contextualSpacing/>
    </w:pPr>
  </w:style>
  <w:style w:type="character" w:styleId="Hyperlink">
    <w:name w:val="Hyperlink"/>
    <w:basedOn w:val="Absatz-Standardschriftart"/>
    <w:uiPriority w:val="99"/>
    <w:unhideWhenUsed/>
    <w:rsid w:val="0009328C"/>
    <w:rPr>
      <w:color w:val="0000FF" w:themeColor="hyperlink"/>
      <w:u w:val="single"/>
    </w:rPr>
  </w:style>
  <w:style w:type="paragraph" w:styleId="Kopfzeile">
    <w:name w:val="header"/>
    <w:basedOn w:val="Standard"/>
    <w:link w:val="KopfzeileZchn"/>
    <w:uiPriority w:val="99"/>
    <w:unhideWhenUsed/>
    <w:rsid w:val="00775E5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75E5E"/>
  </w:style>
  <w:style w:type="paragraph" w:styleId="Fuzeile">
    <w:name w:val="footer"/>
    <w:basedOn w:val="Standard"/>
    <w:link w:val="FuzeileZchn"/>
    <w:uiPriority w:val="99"/>
    <w:unhideWhenUsed/>
    <w:rsid w:val="00775E5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75E5E"/>
  </w:style>
  <w:style w:type="paragraph" w:customStyle="1" w:styleId="EinfAbs">
    <w:name w:val="[Einf. Abs.]"/>
    <w:basedOn w:val="Standard"/>
    <w:uiPriority w:val="99"/>
    <w:rsid w:val="00D4377D"/>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aufzhlungvorteile">
    <w:name w:val="aufzählung vorteile"/>
    <w:basedOn w:val="Standard"/>
    <w:uiPriority w:val="99"/>
    <w:rsid w:val="00E01918"/>
    <w:pPr>
      <w:tabs>
        <w:tab w:val="left" w:pos="510"/>
      </w:tabs>
      <w:autoSpaceDE w:val="0"/>
      <w:autoSpaceDN w:val="0"/>
      <w:adjustRightInd w:val="0"/>
      <w:spacing w:after="255" w:line="240" w:lineRule="atLeast"/>
      <w:ind w:left="510" w:hanging="510"/>
      <w:textAlignment w:val="center"/>
    </w:pPr>
    <w:rPr>
      <w:rFonts w:ascii="GutmannMeta-Norm" w:hAnsi="GutmannMeta-Norm" w:cs="GutmannMeta-Norm"/>
      <w:color w:val="021919"/>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D02B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D02B8"/>
    <w:rPr>
      <w:rFonts w:ascii="Tahoma" w:hAnsi="Tahoma" w:cs="Tahoma"/>
      <w:sz w:val="16"/>
      <w:szCs w:val="16"/>
    </w:rPr>
  </w:style>
  <w:style w:type="paragraph" w:styleId="Listenabsatz">
    <w:name w:val="List Paragraph"/>
    <w:basedOn w:val="Standard"/>
    <w:uiPriority w:val="34"/>
    <w:qFormat/>
    <w:rsid w:val="00BE6940"/>
    <w:pPr>
      <w:ind w:left="720"/>
      <w:contextualSpacing/>
    </w:pPr>
  </w:style>
  <w:style w:type="character" w:styleId="Hyperlink">
    <w:name w:val="Hyperlink"/>
    <w:basedOn w:val="Absatz-Standardschriftart"/>
    <w:uiPriority w:val="99"/>
    <w:unhideWhenUsed/>
    <w:rsid w:val="0009328C"/>
    <w:rPr>
      <w:color w:val="0000FF" w:themeColor="hyperlink"/>
      <w:u w:val="single"/>
    </w:rPr>
  </w:style>
  <w:style w:type="paragraph" w:styleId="Kopfzeile">
    <w:name w:val="header"/>
    <w:basedOn w:val="Standard"/>
    <w:link w:val="KopfzeileZchn"/>
    <w:uiPriority w:val="99"/>
    <w:unhideWhenUsed/>
    <w:rsid w:val="00775E5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75E5E"/>
  </w:style>
  <w:style w:type="paragraph" w:styleId="Fuzeile">
    <w:name w:val="footer"/>
    <w:basedOn w:val="Standard"/>
    <w:link w:val="FuzeileZchn"/>
    <w:uiPriority w:val="99"/>
    <w:unhideWhenUsed/>
    <w:rsid w:val="00775E5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75E5E"/>
  </w:style>
  <w:style w:type="paragraph" w:customStyle="1" w:styleId="EinfAbs">
    <w:name w:val="[Einf. Abs.]"/>
    <w:basedOn w:val="Standard"/>
    <w:uiPriority w:val="99"/>
    <w:rsid w:val="00D4377D"/>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aufzhlungvorteile">
    <w:name w:val="aufzählung vorteile"/>
    <w:basedOn w:val="Standard"/>
    <w:uiPriority w:val="99"/>
    <w:rsid w:val="00E01918"/>
    <w:pPr>
      <w:tabs>
        <w:tab w:val="left" w:pos="510"/>
      </w:tabs>
      <w:autoSpaceDE w:val="0"/>
      <w:autoSpaceDN w:val="0"/>
      <w:adjustRightInd w:val="0"/>
      <w:spacing w:after="255" w:line="240" w:lineRule="atLeast"/>
      <w:ind w:left="510" w:hanging="510"/>
      <w:textAlignment w:val="center"/>
    </w:pPr>
    <w:rPr>
      <w:rFonts w:ascii="GutmannMeta-Norm" w:hAnsi="GutmannMeta-Norm" w:cs="GutmannMeta-Norm"/>
      <w:color w:val="021919"/>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585312">
      <w:bodyDiv w:val="1"/>
      <w:marLeft w:val="0"/>
      <w:marRight w:val="0"/>
      <w:marTop w:val="0"/>
      <w:marBottom w:val="0"/>
      <w:divBdr>
        <w:top w:val="none" w:sz="0" w:space="0" w:color="auto"/>
        <w:left w:val="none" w:sz="0" w:space="0" w:color="auto"/>
        <w:bottom w:val="none" w:sz="0" w:space="0" w:color="auto"/>
        <w:right w:val="none" w:sz="0" w:space="0" w:color="auto"/>
      </w:divBdr>
    </w:div>
    <w:div w:id="738865823">
      <w:bodyDiv w:val="1"/>
      <w:marLeft w:val="0"/>
      <w:marRight w:val="0"/>
      <w:marTop w:val="0"/>
      <w:marBottom w:val="0"/>
      <w:divBdr>
        <w:top w:val="none" w:sz="0" w:space="0" w:color="auto"/>
        <w:left w:val="none" w:sz="0" w:space="0" w:color="auto"/>
        <w:bottom w:val="none" w:sz="0" w:space="0" w:color="auto"/>
        <w:right w:val="none" w:sz="0" w:space="0" w:color="auto"/>
      </w:divBdr>
    </w:div>
    <w:div w:id="1208955172">
      <w:bodyDiv w:val="1"/>
      <w:marLeft w:val="0"/>
      <w:marRight w:val="0"/>
      <w:marTop w:val="0"/>
      <w:marBottom w:val="0"/>
      <w:divBdr>
        <w:top w:val="none" w:sz="0" w:space="0" w:color="auto"/>
        <w:left w:val="none" w:sz="0" w:space="0" w:color="auto"/>
        <w:bottom w:val="none" w:sz="0" w:space="0" w:color="auto"/>
        <w:right w:val="none" w:sz="0" w:space="0" w:color="auto"/>
      </w:divBdr>
      <w:divsChild>
        <w:div w:id="1007756759">
          <w:marLeft w:val="0"/>
          <w:marRight w:val="0"/>
          <w:marTop w:val="0"/>
          <w:marBottom w:val="0"/>
          <w:divBdr>
            <w:top w:val="none" w:sz="0" w:space="0" w:color="auto"/>
            <w:left w:val="none" w:sz="0" w:space="0" w:color="auto"/>
            <w:bottom w:val="none" w:sz="0" w:space="0" w:color="auto"/>
            <w:right w:val="none" w:sz="0" w:space="0" w:color="auto"/>
          </w:divBdr>
        </w:div>
      </w:divsChild>
    </w:div>
    <w:div w:id="1261060885">
      <w:bodyDiv w:val="1"/>
      <w:marLeft w:val="0"/>
      <w:marRight w:val="0"/>
      <w:marTop w:val="0"/>
      <w:marBottom w:val="0"/>
      <w:divBdr>
        <w:top w:val="none" w:sz="0" w:space="0" w:color="auto"/>
        <w:left w:val="none" w:sz="0" w:space="0" w:color="auto"/>
        <w:bottom w:val="none" w:sz="0" w:space="0" w:color="auto"/>
        <w:right w:val="none" w:sz="0" w:space="0" w:color="auto"/>
      </w:divBdr>
      <w:divsChild>
        <w:div w:id="488601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tiff"/><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282</Words>
  <Characters>1778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Hydro</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dc:creator>
  <cp:lastModifiedBy>Benesch, Katja</cp:lastModifiedBy>
  <cp:revision>3</cp:revision>
  <cp:lastPrinted>2016-03-03T21:31:00Z</cp:lastPrinted>
  <dcterms:created xsi:type="dcterms:W3CDTF">2017-09-12T07:37:00Z</dcterms:created>
  <dcterms:modified xsi:type="dcterms:W3CDTF">2017-09-12T07:41:00Z</dcterms:modified>
</cp:coreProperties>
</file>